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5318" w14:textId="54CEC82D" w:rsidR="007859F9" w:rsidRDefault="007859F9" w:rsidP="000338E8">
      <w:pPr>
        <w:pStyle w:val="Default"/>
        <w:ind w:left="-360" w:right="90"/>
        <w:rPr>
          <w:i/>
          <w:iCs/>
          <w:sz w:val="23"/>
          <w:szCs w:val="23"/>
        </w:rPr>
      </w:pPr>
      <w:bookmarkStart w:id="0" w:name="_Hlk79553627"/>
      <w:r>
        <w:rPr>
          <w:b/>
          <w:bCs/>
          <w:i/>
          <w:iCs/>
          <w:sz w:val="23"/>
          <w:szCs w:val="23"/>
        </w:rPr>
        <w:t xml:space="preserve">Understanding the </w:t>
      </w:r>
      <w:r>
        <w:rPr>
          <w:b/>
          <w:bCs/>
          <w:sz w:val="32"/>
          <w:szCs w:val="32"/>
        </w:rPr>
        <w:t xml:space="preserve">Alabama Economic Freedom Act </w:t>
      </w:r>
      <w:r w:rsidR="009C104F">
        <w:rPr>
          <w:b/>
          <w:bCs/>
          <w:sz w:val="32"/>
          <w:szCs w:val="32"/>
        </w:rPr>
        <w:t>–</w:t>
      </w:r>
      <w:r>
        <w:rPr>
          <w:b/>
          <w:bCs/>
          <w:sz w:val="32"/>
          <w:szCs w:val="32"/>
        </w:rPr>
        <w:t xml:space="preserve"> </w:t>
      </w:r>
      <w:r w:rsidR="009C104F">
        <w:rPr>
          <w:i/>
          <w:iCs/>
          <w:sz w:val="23"/>
          <w:szCs w:val="23"/>
        </w:rPr>
        <w:t>The Alabama FairTax</w:t>
      </w:r>
    </w:p>
    <w:p w14:paraId="3361CB65" w14:textId="1BE241B0" w:rsidR="007859F9" w:rsidRDefault="00017D0C" w:rsidP="000338E8">
      <w:pPr>
        <w:pStyle w:val="Default"/>
        <w:ind w:left="-360" w:right="90"/>
        <w:rPr>
          <w:sz w:val="23"/>
          <w:szCs w:val="23"/>
        </w:rPr>
      </w:pPr>
      <w:r>
        <w:rPr>
          <w:i/>
          <w:iCs/>
          <w:noProof/>
          <w:sz w:val="23"/>
          <w:szCs w:val="23"/>
        </w:rPr>
        <mc:AlternateContent>
          <mc:Choice Requires="wps">
            <w:drawing>
              <wp:anchor distT="0" distB="0" distL="114300" distR="114300" simplePos="0" relativeHeight="251659264" behindDoc="0" locked="0" layoutInCell="1" allowOverlap="1" wp14:anchorId="31A55C25" wp14:editId="6BEC432A">
                <wp:simplePos x="0" y="0"/>
                <wp:positionH relativeFrom="column">
                  <wp:posOffset>-121920</wp:posOffset>
                </wp:positionH>
                <wp:positionV relativeFrom="paragraph">
                  <wp:posOffset>40640</wp:posOffset>
                </wp:positionV>
                <wp:extent cx="6102096" cy="0"/>
                <wp:effectExtent l="0" t="19050" r="51435" b="38100"/>
                <wp:wrapNone/>
                <wp:docPr id="4" name="Straight Connector 4"/>
                <wp:cNvGraphicFramePr/>
                <a:graphic xmlns:a="http://schemas.openxmlformats.org/drawingml/2006/main">
                  <a:graphicData uri="http://schemas.microsoft.com/office/word/2010/wordprocessingShape">
                    <wps:wsp>
                      <wps:cNvCnPr/>
                      <wps:spPr>
                        <a:xfrm>
                          <a:off x="0" y="0"/>
                          <a:ext cx="6102096"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EEE2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3.2pt" to="470.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" strokecolor="black [3200]" strokeweight="4.25pt">
                <v:stroke linestyle="thinThick" joinstyle="miter"/>
              </v:line>
            </w:pict>
          </mc:Fallback>
        </mc:AlternateContent>
      </w:r>
      <w:r w:rsidR="007859F9">
        <w:rPr>
          <w:i/>
          <w:iCs/>
          <w:sz w:val="23"/>
          <w:szCs w:val="23"/>
        </w:rPr>
        <w:t xml:space="preserve"> </w:t>
      </w:r>
    </w:p>
    <w:p w14:paraId="49C4C14D" w14:textId="43C1FF2A" w:rsidR="007859F9" w:rsidRPr="002F2352" w:rsidRDefault="007859F9" w:rsidP="000338E8">
      <w:pPr>
        <w:pStyle w:val="Default"/>
        <w:ind w:left="-360" w:right="90"/>
        <w:jc w:val="both"/>
        <w:rPr>
          <w:sz w:val="19"/>
          <w:szCs w:val="19"/>
        </w:rPr>
      </w:pPr>
      <w:r w:rsidRPr="002F2352">
        <w:rPr>
          <w:sz w:val="19"/>
          <w:szCs w:val="19"/>
        </w:rPr>
        <w:t xml:space="preserve">The Alabama Economic Freedom Act, aka Alabama FairTax, is a new way to collect revenue for the state. It is a one-time consumption tax on all NEW goods and services; an inclusive tax that replaces </w:t>
      </w:r>
      <w:r w:rsidRPr="00D53865">
        <w:rPr>
          <w:i/>
          <w:iCs/>
          <w:sz w:val="19"/>
          <w:szCs w:val="19"/>
        </w:rPr>
        <w:t>ALL</w:t>
      </w:r>
      <w:r w:rsidRPr="002F2352">
        <w:rPr>
          <w:sz w:val="19"/>
          <w:szCs w:val="19"/>
        </w:rPr>
        <w:t xml:space="preserve"> current state income and sales taxes, including individual, corporate, inheritance, gift, business-to-business taxes, and local sales taxes. Once an item is taxed, it is never taxed again. Used goods were already taxed when new and are never taxed again. An individual Alabama resident has no need to accumulate receipts for tax purposes and no need to fear audits from an Alabama income tax system. </w:t>
      </w:r>
      <w:r w:rsidR="008610D7">
        <w:rPr>
          <w:sz w:val="19"/>
          <w:szCs w:val="19"/>
        </w:rPr>
        <w:t>Finally, the AEFA is defined to be revenue neutral when enacted.</w:t>
      </w:r>
    </w:p>
    <w:p w14:paraId="48599E8B" w14:textId="77777777" w:rsidR="007859F9" w:rsidRPr="002F2352" w:rsidRDefault="007859F9" w:rsidP="000338E8">
      <w:pPr>
        <w:pStyle w:val="Default"/>
        <w:ind w:left="-360" w:right="90"/>
        <w:jc w:val="both"/>
        <w:rPr>
          <w:sz w:val="19"/>
          <w:szCs w:val="19"/>
        </w:rPr>
      </w:pPr>
    </w:p>
    <w:p w14:paraId="1C388F20" w14:textId="465863C8" w:rsidR="007859F9" w:rsidRPr="002F2352" w:rsidRDefault="007859F9" w:rsidP="000338E8">
      <w:pPr>
        <w:pStyle w:val="Default"/>
        <w:ind w:left="-360" w:right="90"/>
        <w:jc w:val="both"/>
        <w:rPr>
          <w:sz w:val="19"/>
          <w:szCs w:val="19"/>
        </w:rPr>
      </w:pPr>
      <w:r w:rsidRPr="002F2352">
        <w:rPr>
          <w:sz w:val="19"/>
          <w:szCs w:val="19"/>
        </w:rPr>
        <w:t>To better understand how the Alabama FairTax works, let’s take an example of a new item priced at $100 on the shelf. A consumer will only pay $100 for the item, which includes state</w:t>
      </w:r>
      <w:r w:rsidR="00E15454">
        <w:rPr>
          <w:sz w:val="19"/>
          <w:szCs w:val="19"/>
        </w:rPr>
        <w:t xml:space="preserve"> plus</w:t>
      </w:r>
      <w:r w:rsidRPr="002F2352">
        <w:rPr>
          <w:sz w:val="19"/>
          <w:szCs w:val="19"/>
        </w:rPr>
        <w:t xml:space="preserve"> county and municipal taxes. The state tax is</w:t>
      </w:r>
      <w:r w:rsidR="00F875C2">
        <w:rPr>
          <w:sz w:val="19"/>
          <w:szCs w:val="19"/>
        </w:rPr>
        <w:t xml:space="preserve"> $6.50</w:t>
      </w:r>
      <w:r w:rsidRPr="002F2352">
        <w:rPr>
          <w:sz w:val="19"/>
          <w:szCs w:val="19"/>
        </w:rPr>
        <w:t xml:space="preserve"> </w:t>
      </w:r>
      <w:r w:rsidR="00F875C2">
        <w:rPr>
          <w:sz w:val="19"/>
          <w:szCs w:val="19"/>
        </w:rPr>
        <w:t>(</w:t>
      </w:r>
      <w:r w:rsidR="0010301F" w:rsidRPr="002F2352">
        <w:rPr>
          <w:sz w:val="19"/>
          <w:szCs w:val="19"/>
        </w:rPr>
        <w:t>6.</w:t>
      </w:r>
      <w:r w:rsidR="00E15454">
        <w:rPr>
          <w:sz w:val="19"/>
          <w:szCs w:val="19"/>
        </w:rPr>
        <w:t>5</w:t>
      </w:r>
      <w:r w:rsidRPr="002F2352">
        <w:rPr>
          <w:sz w:val="19"/>
          <w:szCs w:val="19"/>
        </w:rPr>
        <w:t>%</w:t>
      </w:r>
      <w:r w:rsidR="00F875C2">
        <w:rPr>
          <w:sz w:val="19"/>
          <w:szCs w:val="19"/>
        </w:rPr>
        <w:t>)</w:t>
      </w:r>
      <w:r w:rsidRPr="002F2352">
        <w:rPr>
          <w:sz w:val="19"/>
          <w:szCs w:val="19"/>
        </w:rPr>
        <w:t xml:space="preserve"> and the remainder is split </w:t>
      </w:r>
      <w:r w:rsidR="00A25B1E">
        <w:rPr>
          <w:sz w:val="19"/>
          <w:szCs w:val="19"/>
        </w:rPr>
        <w:t>between local governments based on actuals from the current system</w:t>
      </w:r>
      <w:r w:rsidR="00E15454">
        <w:rPr>
          <w:sz w:val="19"/>
          <w:szCs w:val="19"/>
        </w:rPr>
        <w:t xml:space="preserve"> for a total of </w:t>
      </w:r>
      <w:r w:rsidR="00F875C2">
        <w:rPr>
          <w:sz w:val="19"/>
          <w:szCs w:val="19"/>
        </w:rPr>
        <w:t>$2.05 (</w:t>
      </w:r>
      <w:r w:rsidR="00E15454">
        <w:rPr>
          <w:sz w:val="19"/>
          <w:szCs w:val="19"/>
        </w:rPr>
        <w:t>2.05%</w:t>
      </w:r>
      <w:r w:rsidR="00F875C2">
        <w:rPr>
          <w:sz w:val="19"/>
          <w:szCs w:val="19"/>
        </w:rPr>
        <w:t>)</w:t>
      </w:r>
      <w:r w:rsidR="00E15454">
        <w:rPr>
          <w:sz w:val="19"/>
          <w:szCs w:val="19"/>
        </w:rPr>
        <w:t>.</w:t>
      </w:r>
      <w:r w:rsidR="00F875C2">
        <w:rPr>
          <w:sz w:val="19"/>
          <w:szCs w:val="19"/>
        </w:rPr>
        <w:t xml:space="preserve"> </w:t>
      </w:r>
      <w:r w:rsidR="00521BC6">
        <w:rPr>
          <w:sz w:val="19"/>
          <w:szCs w:val="19"/>
        </w:rPr>
        <w:t xml:space="preserve">Alabama has 67 counties and 440 municipalities collecting local taxes. The </w:t>
      </w:r>
      <w:r w:rsidR="00343410">
        <w:rPr>
          <w:sz w:val="19"/>
          <w:szCs w:val="19"/>
        </w:rPr>
        <w:t>sum of these</w:t>
      </w:r>
      <w:r w:rsidR="00521BC6">
        <w:rPr>
          <w:sz w:val="19"/>
          <w:szCs w:val="19"/>
        </w:rPr>
        <w:t xml:space="preserve"> local taxes result in an overall collection of 2.05% of the revenue. </w:t>
      </w:r>
      <w:r w:rsidR="00CE5972">
        <w:rPr>
          <w:sz w:val="19"/>
          <w:szCs w:val="19"/>
        </w:rPr>
        <w:t>For instance, Huntsville currently collects a 5.5% sales tax plus 4.0% state</w:t>
      </w:r>
      <w:r w:rsidR="00AB651E">
        <w:rPr>
          <w:sz w:val="19"/>
          <w:szCs w:val="19"/>
        </w:rPr>
        <w:t xml:space="preserve"> sales</w:t>
      </w:r>
      <w:r w:rsidR="00CE5972">
        <w:rPr>
          <w:sz w:val="19"/>
          <w:szCs w:val="19"/>
        </w:rPr>
        <w:t xml:space="preserve"> tax for a total of 9.5%. Under the new system, that total would be 6.5% state</w:t>
      </w:r>
      <w:r w:rsidR="00C24BA3">
        <w:rPr>
          <w:sz w:val="19"/>
          <w:szCs w:val="19"/>
        </w:rPr>
        <w:t>,</w:t>
      </w:r>
      <w:r w:rsidR="00CE5972">
        <w:rPr>
          <w:sz w:val="19"/>
          <w:szCs w:val="19"/>
        </w:rPr>
        <w:t xml:space="preserve"> 0.15</w:t>
      </w:r>
      <w:r w:rsidR="00AB651E">
        <w:rPr>
          <w:sz w:val="19"/>
          <w:szCs w:val="19"/>
        </w:rPr>
        <w:t>%</w:t>
      </w:r>
      <w:r w:rsidR="00CE5972">
        <w:rPr>
          <w:sz w:val="19"/>
          <w:szCs w:val="19"/>
        </w:rPr>
        <w:t xml:space="preserve"> for Huntsville</w:t>
      </w:r>
      <w:r w:rsidR="00AB651E">
        <w:rPr>
          <w:sz w:val="19"/>
          <w:szCs w:val="19"/>
        </w:rPr>
        <w:t>, and 0.031% for Madison County</w:t>
      </w:r>
      <w:r w:rsidR="00CE5972">
        <w:rPr>
          <w:sz w:val="19"/>
          <w:szCs w:val="19"/>
        </w:rPr>
        <w:t>, or a total of 6.65</w:t>
      </w:r>
      <w:r w:rsidR="003329DD">
        <w:rPr>
          <w:sz w:val="19"/>
          <w:szCs w:val="19"/>
        </w:rPr>
        <w:t>1</w:t>
      </w:r>
      <w:r w:rsidR="00CE5972">
        <w:rPr>
          <w:sz w:val="19"/>
          <w:szCs w:val="19"/>
        </w:rPr>
        <w:t xml:space="preserve">%. </w:t>
      </w:r>
      <w:r w:rsidR="00E15454">
        <w:rPr>
          <w:sz w:val="19"/>
          <w:szCs w:val="19"/>
        </w:rPr>
        <w:t xml:space="preserve">Thus, </w:t>
      </w:r>
      <w:r w:rsidR="00CE5972">
        <w:rPr>
          <w:sz w:val="19"/>
          <w:szCs w:val="19"/>
        </w:rPr>
        <w:t xml:space="preserve">when all of the </w:t>
      </w:r>
      <w:r w:rsidR="00E15454">
        <w:rPr>
          <w:sz w:val="19"/>
          <w:szCs w:val="19"/>
        </w:rPr>
        <w:t xml:space="preserve">taxes </w:t>
      </w:r>
      <w:r w:rsidR="00CE5972">
        <w:rPr>
          <w:sz w:val="19"/>
          <w:szCs w:val="19"/>
        </w:rPr>
        <w:t>from counties and municipalities are added together</w:t>
      </w:r>
      <w:r w:rsidR="00AB651E">
        <w:rPr>
          <w:sz w:val="19"/>
          <w:szCs w:val="19"/>
        </w:rPr>
        <w:t>, total revenue</w:t>
      </w:r>
      <w:r w:rsidR="00CE5972">
        <w:rPr>
          <w:sz w:val="19"/>
          <w:szCs w:val="19"/>
        </w:rPr>
        <w:t xml:space="preserve"> collections for </w:t>
      </w:r>
      <w:r w:rsidR="00E15454">
        <w:rPr>
          <w:sz w:val="19"/>
          <w:szCs w:val="19"/>
        </w:rPr>
        <w:t>the state</w:t>
      </w:r>
      <w:r w:rsidR="00AB651E">
        <w:rPr>
          <w:sz w:val="19"/>
          <w:szCs w:val="19"/>
        </w:rPr>
        <w:t xml:space="preserve"> equal 8.55%.  This single rate consumption tax replaces </w:t>
      </w:r>
      <w:r w:rsidR="00D53865" w:rsidRPr="00D53865">
        <w:rPr>
          <w:i/>
          <w:iCs/>
          <w:sz w:val="19"/>
          <w:szCs w:val="19"/>
        </w:rPr>
        <w:t>ALL</w:t>
      </w:r>
      <w:r w:rsidR="00D53865">
        <w:rPr>
          <w:sz w:val="19"/>
          <w:szCs w:val="19"/>
        </w:rPr>
        <w:t xml:space="preserve"> of </w:t>
      </w:r>
      <w:r w:rsidR="00AB651E">
        <w:rPr>
          <w:sz w:val="19"/>
          <w:szCs w:val="19"/>
        </w:rPr>
        <w:t xml:space="preserve">Alabama’s current income/sales tax system. </w:t>
      </w:r>
    </w:p>
    <w:p w14:paraId="28E86FBA" w14:textId="77777777" w:rsidR="007859F9" w:rsidRPr="002F2352" w:rsidRDefault="007859F9" w:rsidP="000338E8">
      <w:pPr>
        <w:pStyle w:val="Default"/>
        <w:ind w:left="-360" w:right="90"/>
        <w:jc w:val="both"/>
        <w:rPr>
          <w:sz w:val="19"/>
          <w:szCs w:val="19"/>
        </w:rPr>
      </w:pPr>
    </w:p>
    <w:p w14:paraId="40D78489" w14:textId="6837449A" w:rsidR="007859F9" w:rsidRPr="002F2352" w:rsidRDefault="007859F9" w:rsidP="000338E8">
      <w:pPr>
        <w:pStyle w:val="Default"/>
        <w:ind w:left="-360" w:right="90"/>
        <w:jc w:val="both"/>
        <w:rPr>
          <w:sz w:val="19"/>
          <w:szCs w:val="19"/>
        </w:rPr>
      </w:pPr>
      <w:r w:rsidRPr="002F2352">
        <w:rPr>
          <w:sz w:val="19"/>
          <w:szCs w:val="19"/>
        </w:rPr>
        <w:t>Retailers will collect the tax and remit it to the state</w:t>
      </w:r>
      <w:r w:rsidR="00F875C2">
        <w:rPr>
          <w:sz w:val="19"/>
          <w:szCs w:val="19"/>
        </w:rPr>
        <w:t>.</w:t>
      </w:r>
      <w:r w:rsidRPr="002F2352">
        <w:rPr>
          <w:sz w:val="19"/>
          <w:szCs w:val="19"/>
        </w:rPr>
        <w:t xml:space="preserve"> </w:t>
      </w:r>
      <w:r w:rsidR="00F875C2">
        <w:rPr>
          <w:sz w:val="19"/>
          <w:szCs w:val="19"/>
        </w:rPr>
        <w:t>T</w:t>
      </w:r>
      <w:r w:rsidRPr="002F2352">
        <w:rPr>
          <w:sz w:val="19"/>
          <w:szCs w:val="19"/>
        </w:rPr>
        <w:t xml:space="preserve">hey are paid for the collection and subject to audit by the state. The form retailers complete for tax remittance is short and based on inventory sold per collection period. Retailers will likely lower their prices because competition drives lower prices. </w:t>
      </w:r>
    </w:p>
    <w:p w14:paraId="2D5BCE6E" w14:textId="77777777" w:rsidR="007859F9" w:rsidRPr="002F2352" w:rsidRDefault="007859F9" w:rsidP="000338E8">
      <w:pPr>
        <w:pStyle w:val="Default"/>
        <w:ind w:left="-360" w:right="90"/>
        <w:jc w:val="both"/>
        <w:rPr>
          <w:sz w:val="19"/>
          <w:szCs w:val="19"/>
        </w:rPr>
      </w:pPr>
    </w:p>
    <w:p w14:paraId="61B0F647" w14:textId="26358089" w:rsidR="007859F9" w:rsidRDefault="00C24BA3" w:rsidP="000338E8">
      <w:pPr>
        <w:pStyle w:val="Default"/>
        <w:ind w:left="-360" w:right="90"/>
        <w:jc w:val="both"/>
        <w:rPr>
          <w:sz w:val="19"/>
          <w:szCs w:val="19"/>
        </w:rPr>
      </w:pPr>
      <w:r w:rsidRPr="00C24BA3">
        <w:rPr>
          <w:sz w:val="19"/>
          <w:szCs w:val="19"/>
        </w:rPr>
        <w:t>Farmers and businesses that sell products to other businesses incur no business-to-business tax. As an example, farmers pay no tax on farm machinery, seeds, etc., or labor required to produce their products.  Sales of the farmer's products to other businesses for use in their products would not be taxed.  However, a farmer who sells his product directly to a consumer at a farmer’s market or on the side of the road is responsible for collecting the tax. Taxes are only collected on end products sold at retail.</w:t>
      </w:r>
    </w:p>
    <w:p w14:paraId="6D90D95D" w14:textId="77777777" w:rsidR="00C24BA3" w:rsidRPr="002F2352" w:rsidRDefault="00C24BA3" w:rsidP="000338E8">
      <w:pPr>
        <w:pStyle w:val="Default"/>
        <w:ind w:left="-360" w:right="90"/>
        <w:jc w:val="both"/>
        <w:rPr>
          <w:sz w:val="19"/>
          <w:szCs w:val="19"/>
        </w:rPr>
      </w:pPr>
    </w:p>
    <w:p w14:paraId="694A1664" w14:textId="61EC9E47" w:rsidR="007859F9" w:rsidRPr="002F2352" w:rsidRDefault="007859F9" w:rsidP="000338E8">
      <w:pPr>
        <w:pStyle w:val="Default"/>
        <w:ind w:left="-360" w:right="90"/>
        <w:jc w:val="both"/>
        <w:rPr>
          <w:sz w:val="19"/>
          <w:szCs w:val="19"/>
        </w:rPr>
      </w:pPr>
      <w:r w:rsidRPr="002F2352">
        <w:rPr>
          <w:sz w:val="19"/>
          <w:szCs w:val="19"/>
        </w:rPr>
        <w:t xml:space="preserve">Because no legal Alabama resident should be taxed on the necessities of life, the Alabama FairTax includes a </w:t>
      </w:r>
      <w:proofErr w:type="spellStart"/>
      <w:r w:rsidRPr="002F2352">
        <w:rPr>
          <w:sz w:val="19"/>
          <w:szCs w:val="19"/>
        </w:rPr>
        <w:t>prebate</w:t>
      </w:r>
      <w:proofErr w:type="spellEnd"/>
      <w:r w:rsidRPr="002F2352">
        <w:rPr>
          <w:sz w:val="19"/>
          <w:szCs w:val="19"/>
        </w:rPr>
        <w:t xml:space="preserve"> </w:t>
      </w:r>
      <w:r w:rsidR="00135881">
        <w:rPr>
          <w:sz w:val="19"/>
          <w:szCs w:val="19"/>
        </w:rPr>
        <w:t xml:space="preserve">(Family Consumption Allowance (FCA)) </w:t>
      </w:r>
      <w:r w:rsidRPr="002F2352">
        <w:rPr>
          <w:sz w:val="19"/>
          <w:szCs w:val="19"/>
        </w:rPr>
        <w:t>which is a monthly return of all taxes a person would pay up to the poverty level (see AEFA Prebate Schedule, pg. 2). A single person can spend up to $</w:t>
      </w:r>
      <w:r w:rsidR="006B7E3A">
        <w:rPr>
          <w:sz w:val="19"/>
          <w:szCs w:val="19"/>
        </w:rPr>
        <w:t>14,580</w:t>
      </w:r>
      <w:r w:rsidR="006B7E3A" w:rsidRPr="002F2352">
        <w:rPr>
          <w:sz w:val="19"/>
          <w:szCs w:val="19"/>
        </w:rPr>
        <w:t xml:space="preserve"> </w:t>
      </w:r>
      <w:r w:rsidRPr="002F2352">
        <w:rPr>
          <w:sz w:val="19"/>
          <w:szCs w:val="19"/>
        </w:rPr>
        <w:t xml:space="preserve">before effectively paying any state, county or municipal taxes. The </w:t>
      </w:r>
      <w:proofErr w:type="spellStart"/>
      <w:r w:rsidRPr="002F2352">
        <w:rPr>
          <w:sz w:val="19"/>
          <w:szCs w:val="19"/>
        </w:rPr>
        <w:t>prebate</w:t>
      </w:r>
      <w:proofErr w:type="spellEnd"/>
      <w:r w:rsidRPr="002F2352">
        <w:rPr>
          <w:sz w:val="19"/>
          <w:szCs w:val="19"/>
        </w:rPr>
        <w:t xml:space="preserve"> is issued to the head of household at the first of the month before any money is spent. In order to receive the </w:t>
      </w:r>
      <w:proofErr w:type="spellStart"/>
      <w:r w:rsidRPr="002F2352">
        <w:rPr>
          <w:sz w:val="19"/>
          <w:szCs w:val="19"/>
        </w:rPr>
        <w:t>prebate</w:t>
      </w:r>
      <w:proofErr w:type="spellEnd"/>
      <w:r w:rsidRPr="002F2352">
        <w:rPr>
          <w:sz w:val="19"/>
          <w:szCs w:val="19"/>
        </w:rPr>
        <w:t>, a person must be a legal U.S. and Alabama resident</w:t>
      </w:r>
      <w:r w:rsidR="002454CA">
        <w:rPr>
          <w:sz w:val="19"/>
          <w:szCs w:val="19"/>
        </w:rPr>
        <w:t>,</w:t>
      </w:r>
      <w:r w:rsidRPr="002F2352">
        <w:rPr>
          <w:sz w:val="19"/>
          <w:szCs w:val="19"/>
        </w:rPr>
        <w:t xml:space="preserve"> and annually complete the application form required of individual heads of household. The </w:t>
      </w:r>
      <w:proofErr w:type="spellStart"/>
      <w:r w:rsidRPr="002F2352">
        <w:rPr>
          <w:sz w:val="19"/>
          <w:szCs w:val="19"/>
        </w:rPr>
        <w:t>prebate</w:t>
      </w:r>
      <w:proofErr w:type="spellEnd"/>
      <w:r w:rsidRPr="002F2352">
        <w:rPr>
          <w:sz w:val="19"/>
          <w:szCs w:val="19"/>
        </w:rPr>
        <w:t xml:space="preserve"> is based on family size</w:t>
      </w:r>
      <w:r w:rsidR="008610D7">
        <w:rPr>
          <w:sz w:val="19"/>
          <w:szCs w:val="19"/>
        </w:rPr>
        <w:t xml:space="preserve">, </w:t>
      </w:r>
      <w:r w:rsidRPr="002F2352">
        <w:rPr>
          <w:sz w:val="19"/>
          <w:szCs w:val="19"/>
        </w:rPr>
        <w:t xml:space="preserve">not income. The form requires the name of the head of household and each legal dependent, address, and valid social security numbers for all. Receipt of the </w:t>
      </w:r>
      <w:proofErr w:type="spellStart"/>
      <w:r w:rsidRPr="002F2352">
        <w:rPr>
          <w:sz w:val="19"/>
          <w:szCs w:val="19"/>
        </w:rPr>
        <w:t>prebate</w:t>
      </w:r>
      <w:proofErr w:type="spellEnd"/>
      <w:r w:rsidRPr="002F2352">
        <w:rPr>
          <w:sz w:val="19"/>
          <w:szCs w:val="19"/>
        </w:rPr>
        <w:t xml:space="preserve"> is totally optional, and those who wish to remain anonymous simply do not need to apply for it. </w:t>
      </w:r>
    </w:p>
    <w:p w14:paraId="558AE7D6" w14:textId="77777777" w:rsidR="007859F9" w:rsidRPr="002F2352" w:rsidRDefault="007859F9" w:rsidP="000338E8">
      <w:pPr>
        <w:pStyle w:val="Default"/>
        <w:ind w:left="-360" w:right="90"/>
        <w:jc w:val="both"/>
        <w:rPr>
          <w:sz w:val="19"/>
          <w:szCs w:val="19"/>
        </w:rPr>
      </w:pPr>
    </w:p>
    <w:p w14:paraId="5A49D7FD" w14:textId="7757080A" w:rsidR="007859F9" w:rsidRPr="002F2352" w:rsidRDefault="007859F9" w:rsidP="000338E8">
      <w:pPr>
        <w:pStyle w:val="Default"/>
        <w:ind w:left="-360" w:right="90"/>
        <w:jc w:val="both"/>
        <w:rPr>
          <w:sz w:val="19"/>
          <w:szCs w:val="19"/>
        </w:rPr>
      </w:pPr>
      <w:r w:rsidRPr="002F2352">
        <w:rPr>
          <w:sz w:val="19"/>
          <w:szCs w:val="19"/>
        </w:rPr>
        <w:t xml:space="preserve">The size of the </w:t>
      </w:r>
      <w:proofErr w:type="spellStart"/>
      <w:r w:rsidRPr="002F2352">
        <w:rPr>
          <w:sz w:val="19"/>
          <w:szCs w:val="19"/>
        </w:rPr>
        <w:t>prebate</w:t>
      </w:r>
      <w:proofErr w:type="spellEnd"/>
      <w:r w:rsidRPr="002F2352">
        <w:rPr>
          <w:sz w:val="19"/>
          <w:szCs w:val="19"/>
        </w:rPr>
        <w:t xml:space="preserve"> is based on Health and Human Services poverty level guidelines published at the beginning of every year. For 20</w:t>
      </w:r>
      <w:r w:rsidR="0010301F" w:rsidRPr="002F2352">
        <w:rPr>
          <w:sz w:val="19"/>
          <w:szCs w:val="19"/>
        </w:rPr>
        <w:t>2</w:t>
      </w:r>
      <w:r w:rsidR="00970EB6">
        <w:rPr>
          <w:sz w:val="19"/>
          <w:szCs w:val="19"/>
        </w:rPr>
        <w:t>3</w:t>
      </w:r>
      <w:r w:rsidRPr="002F2352">
        <w:rPr>
          <w:sz w:val="19"/>
          <w:szCs w:val="19"/>
        </w:rPr>
        <w:t>, $</w:t>
      </w:r>
      <w:r w:rsidR="0034387A">
        <w:rPr>
          <w:sz w:val="19"/>
          <w:szCs w:val="19"/>
        </w:rPr>
        <w:t>1</w:t>
      </w:r>
      <w:r w:rsidR="00970EB6">
        <w:rPr>
          <w:sz w:val="19"/>
          <w:szCs w:val="19"/>
        </w:rPr>
        <w:t>4</w:t>
      </w:r>
      <w:r w:rsidR="0034387A">
        <w:rPr>
          <w:sz w:val="19"/>
          <w:szCs w:val="19"/>
        </w:rPr>
        <w:t>,5</w:t>
      </w:r>
      <w:r w:rsidR="00970EB6">
        <w:rPr>
          <w:sz w:val="19"/>
          <w:szCs w:val="19"/>
        </w:rPr>
        <w:t>8</w:t>
      </w:r>
      <w:r w:rsidR="0034387A">
        <w:rPr>
          <w:sz w:val="19"/>
          <w:szCs w:val="19"/>
        </w:rPr>
        <w:t>0</w:t>
      </w:r>
      <w:r w:rsidR="0034387A" w:rsidRPr="002F2352">
        <w:rPr>
          <w:sz w:val="19"/>
          <w:szCs w:val="19"/>
        </w:rPr>
        <w:t xml:space="preserve"> </w:t>
      </w:r>
      <w:r w:rsidRPr="002F2352">
        <w:rPr>
          <w:sz w:val="19"/>
          <w:szCs w:val="19"/>
        </w:rPr>
        <w:t>is the poverty level for a single person. A single legal Alabama resident would receive $</w:t>
      </w:r>
      <w:r w:rsidR="008610D7">
        <w:rPr>
          <w:sz w:val="19"/>
          <w:szCs w:val="19"/>
        </w:rPr>
        <w:t>7</w:t>
      </w:r>
      <w:r w:rsidR="00970EB6">
        <w:rPr>
          <w:sz w:val="19"/>
          <w:szCs w:val="19"/>
        </w:rPr>
        <w:t>9</w:t>
      </w:r>
      <w:r w:rsidRPr="002F2352">
        <w:rPr>
          <w:sz w:val="19"/>
          <w:szCs w:val="19"/>
        </w:rPr>
        <w:t xml:space="preserve"> monthly to cover the taxes </w:t>
      </w:r>
      <w:r w:rsidR="009C104F">
        <w:rPr>
          <w:sz w:val="19"/>
          <w:szCs w:val="19"/>
        </w:rPr>
        <w:t xml:space="preserve">to be </w:t>
      </w:r>
      <w:r w:rsidRPr="002F2352">
        <w:rPr>
          <w:sz w:val="19"/>
          <w:szCs w:val="19"/>
        </w:rPr>
        <w:t xml:space="preserve">paid </w:t>
      </w:r>
      <w:r w:rsidR="002454CA">
        <w:rPr>
          <w:sz w:val="19"/>
          <w:szCs w:val="19"/>
        </w:rPr>
        <w:t xml:space="preserve">on spending </w:t>
      </w:r>
      <w:r w:rsidRPr="002F2352">
        <w:rPr>
          <w:sz w:val="19"/>
          <w:szCs w:val="19"/>
        </w:rPr>
        <w:t>up to $1,</w:t>
      </w:r>
      <w:r w:rsidR="00970EB6">
        <w:rPr>
          <w:sz w:val="19"/>
          <w:szCs w:val="19"/>
        </w:rPr>
        <w:t>215</w:t>
      </w:r>
      <w:r w:rsidRPr="002F2352">
        <w:rPr>
          <w:sz w:val="19"/>
          <w:szCs w:val="19"/>
        </w:rPr>
        <w:t xml:space="preserve"> that month. That means a single person could spend $1,</w:t>
      </w:r>
      <w:r w:rsidR="00970EB6">
        <w:rPr>
          <w:sz w:val="19"/>
          <w:szCs w:val="19"/>
        </w:rPr>
        <w:t>215</w:t>
      </w:r>
      <w:r w:rsidRPr="002F2352">
        <w:rPr>
          <w:sz w:val="19"/>
          <w:szCs w:val="19"/>
        </w:rPr>
        <w:t xml:space="preserve">/month without incurring any state, county or local tax consequences. The </w:t>
      </w:r>
      <w:proofErr w:type="spellStart"/>
      <w:r w:rsidRPr="002F2352">
        <w:rPr>
          <w:sz w:val="19"/>
          <w:szCs w:val="19"/>
        </w:rPr>
        <w:t>prebate</w:t>
      </w:r>
      <w:proofErr w:type="spellEnd"/>
      <w:r w:rsidRPr="002F2352">
        <w:rPr>
          <w:sz w:val="19"/>
          <w:szCs w:val="19"/>
        </w:rPr>
        <w:t xml:space="preserve"> for a couple is twice that of a single person. For a family of four, a couple with two children, the poverty level is $</w:t>
      </w:r>
      <w:r w:rsidR="00970EB6">
        <w:rPr>
          <w:sz w:val="19"/>
          <w:szCs w:val="19"/>
        </w:rPr>
        <w:t>39,440</w:t>
      </w:r>
      <w:r w:rsidRPr="002F2352">
        <w:rPr>
          <w:sz w:val="19"/>
          <w:szCs w:val="19"/>
        </w:rPr>
        <w:t>, and that family would receive $</w:t>
      </w:r>
      <w:r w:rsidR="00970EB6">
        <w:rPr>
          <w:sz w:val="19"/>
          <w:szCs w:val="19"/>
        </w:rPr>
        <w:t>214</w:t>
      </w:r>
      <w:r w:rsidRPr="002F2352">
        <w:rPr>
          <w:sz w:val="19"/>
          <w:szCs w:val="19"/>
        </w:rPr>
        <w:t xml:space="preserve">/month on the first of every month. </w:t>
      </w:r>
    </w:p>
    <w:p w14:paraId="38CAD771" w14:textId="77777777" w:rsidR="007859F9" w:rsidRPr="002F2352" w:rsidRDefault="007859F9" w:rsidP="000338E8">
      <w:pPr>
        <w:pStyle w:val="Default"/>
        <w:ind w:left="-360" w:right="90"/>
        <w:jc w:val="both"/>
        <w:rPr>
          <w:sz w:val="19"/>
          <w:szCs w:val="19"/>
        </w:rPr>
      </w:pPr>
    </w:p>
    <w:p w14:paraId="5DEFE0B2" w14:textId="113E8ABC" w:rsidR="007859F9" w:rsidRPr="002F2352" w:rsidRDefault="007859F9" w:rsidP="000338E8">
      <w:pPr>
        <w:pStyle w:val="Default"/>
        <w:ind w:left="-360" w:right="90"/>
        <w:jc w:val="both"/>
        <w:rPr>
          <w:sz w:val="19"/>
          <w:szCs w:val="19"/>
        </w:rPr>
      </w:pPr>
      <w:r w:rsidRPr="002F2352">
        <w:rPr>
          <w:sz w:val="19"/>
          <w:szCs w:val="19"/>
        </w:rPr>
        <w:t xml:space="preserve">The </w:t>
      </w:r>
      <w:proofErr w:type="spellStart"/>
      <w:r w:rsidRPr="002F2352">
        <w:rPr>
          <w:sz w:val="19"/>
          <w:szCs w:val="19"/>
        </w:rPr>
        <w:t>prebate</w:t>
      </w:r>
      <w:proofErr w:type="spellEnd"/>
      <w:r w:rsidRPr="002F2352">
        <w:rPr>
          <w:sz w:val="19"/>
          <w:szCs w:val="19"/>
        </w:rPr>
        <w:t xml:space="preserve"> eliminates the tax consequences for all legal Alabama residents up to the poverty level (see AEFA Effective Rate, pg. 2). For instance, a single person spending $</w:t>
      </w:r>
      <w:r w:rsidR="00970EB6">
        <w:rPr>
          <w:sz w:val="19"/>
          <w:szCs w:val="19"/>
        </w:rPr>
        <w:t>14,580</w:t>
      </w:r>
      <w:r w:rsidR="0034387A" w:rsidRPr="002F2352">
        <w:rPr>
          <w:sz w:val="19"/>
          <w:szCs w:val="19"/>
        </w:rPr>
        <w:t xml:space="preserve"> </w:t>
      </w:r>
      <w:r w:rsidRPr="002F2352">
        <w:rPr>
          <w:sz w:val="19"/>
          <w:szCs w:val="19"/>
        </w:rPr>
        <w:t xml:space="preserve">or less per year is compensated for the consumption tax levied on that amount. If that person spends twice that amount, he will pay an effective tax rate of </w:t>
      </w:r>
      <w:r w:rsidR="00FB19C4">
        <w:rPr>
          <w:sz w:val="19"/>
          <w:szCs w:val="19"/>
        </w:rPr>
        <w:t>3.</w:t>
      </w:r>
      <w:r w:rsidR="0034387A">
        <w:rPr>
          <w:sz w:val="19"/>
          <w:szCs w:val="19"/>
        </w:rPr>
        <w:t>25</w:t>
      </w:r>
      <w:r w:rsidRPr="002F2352">
        <w:rPr>
          <w:sz w:val="19"/>
          <w:szCs w:val="19"/>
        </w:rPr>
        <w:t xml:space="preserve">% on all purchases. To actually pay an effective tax rate near </w:t>
      </w:r>
      <w:r w:rsidR="00FB19C4">
        <w:rPr>
          <w:sz w:val="19"/>
          <w:szCs w:val="19"/>
        </w:rPr>
        <w:t>6.5</w:t>
      </w:r>
      <w:r w:rsidRPr="002F2352">
        <w:rPr>
          <w:sz w:val="19"/>
          <w:szCs w:val="19"/>
        </w:rPr>
        <w:t>%, that person would have to spend more than $</w:t>
      </w:r>
      <w:r w:rsidR="003A5B25">
        <w:rPr>
          <w:sz w:val="19"/>
          <w:szCs w:val="19"/>
        </w:rPr>
        <w:t>3.5</w:t>
      </w:r>
      <w:r w:rsidRPr="002F2352">
        <w:rPr>
          <w:sz w:val="19"/>
          <w:szCs w:val="19"/>
        </w:rPr>
        <w:t xml:space="preserve"> million! </w:t>
      </w:r>
    </w:p>
    <w:p w14:paraId="22804A10" w14:textId="77777777" w:rsidR="007859F9" w:rsidRPr="002F2352" w:rsidRDefault="007859F9" w:rsidP="000338E8">
      <w:pPr>
        <w:pStyle w:val="Default"/>
        <w:ind w:left="-360" w:right="90"/>
        <w:jc w:val="both"/>
        <w:rPr>
          <w:sz w:val="19"/>
          <w:szCs w:val="19"/>
        </w:rPr>
      </w:pPr>
    </w:p>
    <w:p w14:paraId="568BFA0F" w14:textId="6B6D039A" w:rsidR="007859F9" w:rsidRPr="002F2352" w:rsidRDefault="007859F9" w:rsidP="000338E8">
      <w:pPr>
        <w:pStyle w:val="Default"/>
        <w:ind w:left="-360" w:right="90"/>
        <w:jc w:val="both"/>
        <w:rPr>
          <w:sz w:val="19"/>
          <w:szCs w:val="19"/>
        </w:rPr>
      </w:pPr>
      <w:r w:rsidRPr="002F2352">
        <w:rPr>
          <w:sz w:val="19"/>
          <w:szCs w:val="19"/>
        </w:rPr>
        <w:t xml:space="preserve">The Alabama FairTax is a win for all Alabama residents. Some cities and counties have chosen to pay more local or county tax to raise funds for roads, schools, and other projects. With the Alabama FairTax everyone will pay </w:t>
      </w:r>
      <w:r w:rsidR="00FB19C4">
        <w:rPr>
          <w:sz w:val="19"/>
          <w:szCs w:val="19"/>
        </w:rPr>
        <w:t>6.5</w:t>
      </w:r>
      <w:r w:rsidRPr="002F2352">
        <w:rPr>
          <w:sz w:val="19"/>
          <w:szCs w:val="19"/>
        </w:rPr>
        <w:t xml:space="preserve">% plus </w:t>
      </w:r>
      <w:r w:rsidR="00FB19C4">
        <w:rPr>
          <w:sz w:val="19"/>
          <w:szCs w:val="19"/>
        </w:rPr>
        <w:t xml:space="preserve">the local tax and </w:t>
      </w:r>
      <w:r w:rsidRPr="002F2352">
        <w:rPr>
          <w:sz w:val="19"/>
          <w:szCs w:val="19"/>
        </w:rPr>
        <w:t xml:space="preserve">any extra </w:t>
      </w:r>
      <w:r w:rsidR="00FB19C4">
        <w:rPr>
          <w:sz w:val="19"/>
          <w:szCs w:val="19"/>
        </w:rPr>
        <w:t xml:space="preserve">special taxes </w:t>
      </w:r>
      <w:r w:rsidRPr="002F2352">
        <w:rPr>
          <w:sz w:val="19"/>
          <w:szCs w:val="19"/>
        </w:rPr>
        <w:t>voted on by the community</w:t>
      </w:r>
      <w:r w:rsidR="003329DD">
        <w:rPr>
          <w:sz w:val="19"/>
          <w:szCs w:val="19"/>
        </w:rPr>
        <w:t xml:space="preserve"> (see second paragraph)</w:t>
      </w:r>
      <w:r w:rsidRPr="002F2352">
        <w:rPr>
          <w:sz w:val="19"/>
          <w:szCs w:val="19"/>
        </w:rPr>
        <w:t xml:space="preserve">. Everyone will have the chance to decide just how they think this tax will affect them, since a vote is required on a constitutional amendment to abolish Alabama’s current tax system. Alabamians will have a chance to speak with our legislators and let them know </w:t>
      </w:r>
      <w:r w:rsidR="00FB19C4">
        <w:rPr>
          <w:sz w:val="19"/>
          <w:szCs w:val="19"/>
        </w:rPr>
        <w:t>what</w:t>
      </w:r>
      <w:r w:rsidRPr="002F2352">
        <w:rPr>
          <w:sz w:val="19"/>
          <w:szCs w:val="19"/>
        </w:rPr>
        <w:t xml:space="preserve"> we </w:t>
      </w:r>
      <w:r w:rsidR="00FB19C4">
        <w:rPr>
          <w:sz w:val="19"/>
          <w:szCs w:val="19"/>
        </w:rPr>
        <w:t>think</w:t>
      </w:r>
      <w:r w:rsidRPr="002F2352">
        <w:rPr>
          <w:sz w:val="19"/>
          <w:szCs w:val="19"/>
        </w:rPr>
        <w:t xml:space="preserve"> about a total change in the way taxes are collected in our state.</w:t>
      </w:r>
    </w:p>
    <w:p w14:paraId="3D8381C7" w14:textId="77777777" w:rsidR="007859F9" w:rsidRPr="002F2352" w:rsidRDefault="007859F9" w:rsidP="000338E8">
      <w:pPr>
        <w:pStyle w:val="Default"/>
        <w:ind w:left="-360" w:right="90"/>
        <w:rPr>
          <w:sz w:val="19"/>
          <w:szCs w:val="19"/>
        </w:rPr>
      </w:pPr>
    </w:p>
    <w:tbl>
      <w:tblPr>
        <w:tblW w:w="0" w:type="auto"/>
        <w:tblInd w:w="-524" w:type="dxa"/>
        <w:tblBorders>
          <w:top w:val="nil"/>
          <w:left w:val="nil"/>
          <w:bottom w:val="nil"/>
          <w:right w:val="nil"/>
        </w:tblBorders>
        <w:tblLayout w:type="fixed"/>
        <w:tblLook w:val="0000" w:firstRow="0" w:lastRow="0" w:firstColumn="0" w:lastColumn="0" w:noHBand="0" w:noVBand="0"/>
      </w:tblPr>
      <w:tblGrid>
        <w:gridCol w:w="4484"/>
        <w:gridCol w:w="3128"/>
      </w:tblGrid>
      <w:tr w:rsidR="007859F9" w:rsidRPr="002F2352" w14:paraId="13538233" w14:textId="77777777" w:rsidTr="000338E8">
        <w:trPr>
          <w:trHeight w:val="319"/>
        </w:trPr>
        <w:tc>
          <w:tcPr>
            <w:tcW w:w="4484" w:type="dxa"/>
          </w:tcPr>
          <w:p w14:paraId="3ADC610F" w14:textId="738B58B9" w:rsidR="007859F9" w:rsidRPr="002F2352" w:rsidRDefault="007859F9" w:rsidP="000338E8">
            <w:pPr>
              <w:pStyle w:val="Default"/>
              <w:ind w:left="-197" w:right="90" w:firstLine="250"/>
              <w:rPr>
                <w:sz w:val="19"/>
                <w:szCs w:val="19"/>
              </w:rPr>
            </w:pPr>
            <w:r w:rsidRPr="002F2352">
              <w:rPr>
                <w:sz w:val="19"/>
                <w:szCs w:val="19"/>
              </w:rPr>
              <w:t xml:space="preserve">For more information go to </w:t>
            </w:r>
            <w:hyperlink r:id="rId8" w:history="1">
              <w:r w:rsidRPr="002F2352">
                <w:rPr>
                  <w:rStyle w:val="Hyperlink"/>
                  <w:sz w:val="19"/>
                  <w:szCs w:val="19"/>
                </w:rPr>
                <w:t>http://www.alfairtax.org</w:t>
              </w:r>
            </w:hyperlink>
          </w:p>
          <w:p w14:paraId="5304F2C8" w14:textId="16AB0B47" w:rsidR="007859F9" w:rsidRPr="002F2352" w:rsidRDefault="007859F9" w:rsidP="000338E8">
            <w:pPr>
              <w:pStyle w:val="Default"/>
              <w:ind w:left="-37" w:right="90" w:firstLine="90"/>
              <w:rPr>
                <w:sz w:val="19"/>
                <w:szCs w:val="19"/>
              </w:rPr>
            </w:pPr>
            <w:r w:rsidRPr="002F2352">
              <w:rPr>
                <w:sz w:val="19"/>
                <w:szCs w:val="19"/>
              </w:rPr>
              <w:t xml:space="preserve">Mary Lynn Bailey </w:t>
            </w:r>
          </w:p>
          <w:p w14:paraId="7FE2BA9E" w14:textId="77777777" w:rsidR="007859F9" w:rsidRPr="002F2352" w:rsidRDefault="007859F9" w:rsidP="000338E8">
            <w:pPr>
              <w:pStyle w:val="Default"/>
              <w:ind w:left="-37" w:right="90" w:firstLine="90"/>
              <w:rPr>
                <w:sz w:val="19"/>
                <w:szCs w:val="19"/>
              </w:rPr>
            </w:pPr>
            <w:r w:rsidRPr="002F2352">
              <w:rPr>
                <w:sz w:val="19"/>
                <w:szCs w:val="19"/>
              </w:rPr>
              <w:t xml:space="preserve">Alabama </w:t>
            </w:r>
            <w:proofErr w:type="spellStart"/>
            <w:r w:rsidRPr="002F2352">
              <w:rPr>
                <w:sz w:val="19"/>
                <w:szCs w:val="19"/>
              </w:rPr>
              <w:t>FAIRtax</w:t>
            </w:r>
            <w:proofErr w:type="spellEnd"/>
            <w:r w:rsidRPr="002F2352">
              <w:rPr>
                <w:sz w:val="19"/>
                <w:szCs w:val="19"/>
              </w:rPr>
              <w:t xml:space="preserve"> </w:t>
            </w:r>
          </w:p>
          <w:p w14:paraId="381E490B" w14:textId="77777777" w:rsidR="007859F9" w:rsidRPr="002F2352" w:rsidRDefault="007859F9" w:rsidP="000338E8">
            <w:pPr>
              <w:pStyle w:val="Default"/>
              <w:ind w:left="-37" w:right="90" w:firstLine="90"/>
              <w:rPr>
                <w:sz w:val="19"/>
                <w:szCs w:val="19"/>
              </w:rPr>
            </w:pPr>
            <w:r w:rsidRPr="002F2352">
              <w:rPr>
                <w:sz w:val="19"/>
                <w:szCs w:val="19"/>
              </w:rPr>
              <w:t xml:space="preserve">maryly01@sprynet.com </w:t>
            </w:r>
          </w:p>
        </w:tc>
        <w:tc>
          <w:tcPr>
            <w:tcW w:w="3128" w:type="dxa"/>
          </w:tcPr>
          <w:p w14:paraId="0FD65844" w14:textId="0E61CDA6" w:rsidR="007859F9" w:rsidRPr="002F2352" w:rsidRDefault="007859F9" w:rsidP="000338E8">
            <w:pPr>
              <w:pStyle w:val="Default"/>
              <w:ind w:left="-21" w:right="90" w:firstLine="21"/>
              <w:rPr>
                <w:sz w:val="19"/>
                <w:szCs w:val="19"/>
              </w:rPr>
            </w:pPr>
          </w:p>
          <w:p w14:paraId="7CE4F865" w14:textId="5EF2488E" w:rsidR="007859F9" w:rsidRPr="002F2352" w:rsidRDefault="007859F9" w:rsidP="000338E8">
            <w:pPr>
              <w:pStyle w:val="Default"/>
              <w:ind w:left="-21" w:right="90" w:firstLine="21"/>
              <w:rPr>
                <w:sz w:val="19"/>
                <w:szCs w:val="19"/>
              </w:rPr>
            </w:pPr>
            <w:r w:rsidRPr="002F2352">
              <w:rPr>
                <w:sz w:val="19"/>
                <w:szCs w:val="19"/>
              </w:rPr>
              <w:t xml:space="preserve">Chuck Bailey </w:t>
            </w:r>
          </w:p>
          <w:p w14:paraId="771A2CE1" w14:textId="77777777" w:rsidR="007859F9" w:rsidRPr="002F2352" w:rsidRDefault="007859F9" w:rsidP="000338E8">
            <w:pPr>
              <w:pStyle w:val="Default"/>
              <w:ind w:left="-21" w:right="90" w:firstLine="21"/>
              <w:rPr>
                <w:sz w:val="19"/>
                <w:szCs w:val="19"/>
              </w:rPr>
            </w:pPr>
            <w:r w:rsidRPr="002F2352">
              <w:rPr>
                <w:sz w:val="19"/>
                <w:szCs w:val="19"/>
              </w:rPr>
              <w:t xml:space="preserve">Alabama </w:t>
            </w:r>
            <w:proofErr w:type="spellStart"/>
            <w:r w:rsidRPr="002F2352">
              <w:rPr>
                <w:sz w:val="19"/>
                <w:szCs w:val="19"/>
              </w:rPr>
              <w:t>FAIRtax</w:t>
            </w:r>
            <w:proofErr w:type="spellEnd"/>
            <w:r w:rsidRPr="002F2352">
              <w:rPr>
                <w:sz w:val="19"/>
                <w:szCs w:val="19"/>
              </w:rPr>
              <w:t xml:space="preserve"> State Director </w:t>
            </w:r>
          </w:p>
          <w:p w14:paraId="4238AD0C" w14:textId="77777777" w:rsidR="007859F9" w:rsidRPr="002F2352" w:rsidRDefault="007859F9" w:rsidP="000338E8">
            <w:pPr>
              <w:pStyle w:val="Default"/>
              <w:ind w:left="-21" w:right="90" w:firstLine="21"/>
              <w:rPr>
                <w:sz w:val="19"/>
                <w:szCs w:val="19"/>
              </w:rPr>
            </w:pPr>
            <w:r w:rsidRPr="002F2352">
              <w:rPr>
                <w:sz w:val="19"/>
                <w:szCs w:val="19"/>
              </w:rPr>
              <w:t xml:space="preserve">irlaserman@sprynet.com </w:t>
            </w:r>
          </w:p>
        </w:tc>
      </w:tr>
      <w:bookmarkEnd w:id="0"/>
    </w:tbl>
    <w:p w14:paraId="6FFA573C" w14:textId="0F8F9E33" w:rsidR="007859F9" w:rsidRDefault="007859F9" w:rsidP="000338E8">
      <w:pPr>
        <w:ind w:left="-360" w:right="90"/>
        <w:jc w:val="center"/>
        <w:rPr>
          <w:sz w:val="18"/>
          <w:szCs w:val="18"/>
        </w:rPr>
      </w:pPr>
    </w:p>
    <w:p w14:paraId="4E70E85C" w14:textId="5BF3936D" w:rsidR="00877AFB" w:rsidRDefault="00970EB6" w:rsidP="00970EB6">
      <w:pPr>
        <w:ind w:left="-360" w:right="90"/>
        <w:jc w:val="center"/>
        <w:rPr>
          <w:rFonts w:ascii="Georgia" w:hAnsi="Georgia"/>
          <w:b/>
          <w:bCs/>
          <w:i/>
          <w:iCs/>
          <w:sz w:val="19"/>
          <w:szCs w:val="19"/>
        </w:rPr>
      </w:pPr>
      <w:r>
        <w:rPr>
          <w:noProof/>
        </w:rPr>
        <w:lastRenderedPageBreak/>
        <w:drawing>
          <wp:inline distT="0" distB="0" distL="0" distR="0" wp14:anchorId="735B25EA" wp14:editId="4BB56747">
            <wp:extent cx="6437579" cy="291904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2444" cy="2984727"/>
                    </a:xfrm>
                    <a:prstGeom prst="rect">
                      <a:avLst/>
                    </a:prstGeom>
                    <a:noFill/>
                  </pic:spPr>
                </pic:pic>
              </a:graphicData>
            </a:graphic>
          </wp:inline>
        </w:drawing>
      </w:r>
      <w:r w:rsidR="009F11CC" w:rsidRPr="009F11CC">
        <w:t xml:space="preserve"> </w:t>
      </w:r>
      <w:r w:rsidR="00A0451F">
        <w:rPr>
          <w:rFonts w:ascii="Georgia" w:hAnsi="Georgia"/>
          <w:b/>
          <w:bCs/>
          <w:i/>
          <w:iCs/>
          <w:sz w:val="19"/>
          <w:szCs w:val="19"/>
        </w:rPr>
        <w:t xml:space="preserve">Note: Family Consumption Allowance </w:t>
      </w:r>
      <w:r w:rsidR="00DB3BCD">
        <w:rPr>
          <w:rFonts w:ascii="Georgia" w:hAnsi="Georgia"/>
          <w:b/>
          <w:bCs/>
          <w:i/>
          <w:iCs/>
          <w:sz w:val="19"/>
          <w:szCs w:val="19"/>
        </w:rPr>
        <w:t xml:space="preserve">= FCA </w:t>
      </w:r>
      <w:r w:rsidR="00A0451F">
        <w:rPr>
          <w:rFonts w:ascii="Georgia" w:hAnsi="Georgia"/>
          <w:b/>
          <w:bCs/>
          <w:i/>
          <w:iCs/>
          <w:sz w:val="19"/>
          <w:szCs w:val="19"/>
        </w:rPr>
        <w:t>= Poverty Level = Basis to Calculate Prebate</w:t>
      </w:r>
      <w:bookmarkStart w:id="1" w:name="_Hlk79503928"/>
    </w:p>
    <w:p w14:paraId="2A6BA905" w14:textId="77777777" w:rsidR="00970EB6" w:rsidRPr="00970EB6" w:rsidRDefault="00970EB6" w:rsidP="00970EB6">
      <w:pPr>
        <w:ind w:left="-360" w:right="90"/>
        <w:jc w:val="center"/>
        <w:rPr>
          <w:rFonts w:ascii="Georgia" w:hAnsi="Georgia"/>
          <w:b/>
          <w:bCs/>
          <w:i/>
          <w:iCs/>
          <w:sz w:val="6"/>
          <w:szCs w:val="6"/>
        </w:rPr>
      </w:pPr>
    </w:p>
    <w:p w14:paraId="71AAE53E" w14:textId="2640FBF9" w:rsidR="00970EB6" w:rsidRDefault="00970EB6" w:rsidP="00970EB6">
      <w:pPr>
        <w:ind w:left="-360" w:right="90"/>
        <w:jc w:val="center"/>
        <w:rPr>
          <w:rFonts w:ascii="Georgia" w:hAnsi="Georgia"/>
          <w:b/>
          <w:bCs/>
          <w:i/>
          <w:iCs/>
          <w:sz w:val="19"/>
          <w:szCs w:val="19"/>
        </w:rPr>
      </w:pPr>
      <w:r>
        <w:rPr>
          <w:rFonts w:ascii="Georgia" w:hAnsi="Georgia"/>
          <w:b/>
          <w:bCs/>
          <w:i/>
          <w:iCs/>
          <w:noProof/>
          <w:sz w:val="19"/>
          <w:szCs w:val="19"/>
        </w:rPr>
        <w:drawing>
          <wp:inline distT="0" distB="0" distL="0" distR="0" wp14:anchorId="68AF2A4C" wp14:editId="135917D2">
            <wp:extent cx="6436995" cy="29018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9183" cy="2934428"/>
                    </a:xfrm>
                    <a:prstGeom prst="rect">
                      <a:avLst/>
                    </a:prstGeom>
                    <a:noFill/>
                  </pic:spPr>
                </pic:pic>
              </a:graphicData>
            </a:graphic>
          </wp:inline>
        </w:drawing>
      </w:r>
    </w:p>
    <w:p w14:paraId="6168099D" w14:textId="23F0BF7A" w:rsidR="00D038CE" w:rsidRPr="00970EB6" w:rsidRDefault="007A426B" w:rsidP="000338E8">
      <w:pPr>
        <w:ind w:left="-360" w:right="90"/>
        <w:jc w:val="both"/>
        <w:rPr>
          <w:rFonts w:ascii="Georgia" w:hAnsi="Georgia"/>
          <w:b/>
          <w:bCs/>
          <w:i/>
          <w:iCs/>
          <w:sz w:val="16"/>
          <w:szCs w:val="16"/>
        </w:rPr>
      </w:pPr>
      <w:r w:rsidRPr="00970EB6">
        <w:rPr>
          <w:rFonts w:ascii="Georgia" w:hAnsi="Georgia"/>
          <w:b/>
          <w:bCs/>
          <w:i/>
          <w:iCs/>
          <w:sz w:val="16"/>
          <w:szCs w:val="16"/>
        </w:rPr>
        <w:t>NOTE</w:t>
      </w:r>
      <w:r w:rsidR="009C104F" w:rsidRPr="00970EB6">
        <w:rPr>
          <w:rFonts w:ascii="Georgia" w:hAnsi="Georgia"/>
          <w:b/>
          <w:bCs/>
          <w:i/>
          <w:iCs/>
          <w:sz w:val="16"/>
          <w:szCs w:val="16"/>
        </w:rPr>
        <w:t xml:space="preserve"> 1</w:t>
      </w:r>
      <w:r w:rsidRPr="00970EB6">
        <w:rPr>
          <w:rFonts w:ascii="Georgia" w:hAnsi="Georgia"/>
          <w:b/>
          <w:bCs/>
          <w:i/>
          <w:iCs/>
          <w:sz w:val="16"/>
          <w:szCs w:val="16"/>
        </w:rPr>
        <w:t xml:space="preserve">: </w:t>
      </w:r>
      <w:bookmarkEnd w:id="1"/>
      <w:r w:rsidR="00561362" w:rsidRPr="00970EB6">
        <w:rPr>
          <w:rFonts w:ascii="Georgia" w:hAnsi="Georgia"/>
          <w:b/>
          <w:bCs/>
          <w:i/>
          <w:iCs/>
          <w:sz w:val="16"/>
          <w:szCs w:val="16"/>
        </w:rPr>
        <w:t>Both schedules are based only on the state portion of the consumption tax. Since each city and county tax is different, the associated Prebate for them will vary across the state</w:t>
      </w:r>
      <w:bookmarkStart w:id="2" w:name="_Hlk73451064"/>
      <w:r w:rsidRPr="00970EB6">
        <w:rPr>
          <w:rFonts w:ascii="Georgia" w:hAnsi="Georgia"/>
          <w:b/>
          <w:bCs/>
          <w:i/>
          <w:iCs/>
          <w:sz w:val="16"/>
          <w:szCs w:val="16"/>
        </w:rPr>
        <w:t xml:space="preserve">.  </w:t>
      </w:r>
      <w:bookmarkEnd w:id="2"/>
      <w:r w:rsidR="00191883" w:rsidRPr="00970EB6">
        <w:rPr>
          <w:rFonts w:ascii="Georgia" w:hAnsi="Georgia"/>
          <w:b/>
          <w:bCs/>
          <w:i/>
          <w:iCs/>
          <w:sz w:val="16"/>
          <w:szCs w:val="16"/>
        </w:rPr>
        <w:t>Based on family size, distribution of the Prebate will contain the state and local taxes to cover the FCA for any given month.</w:t>
      </w:r>
      <w:bookmarkStart w:id="3" w:name="_Hlk73451319"/>
    </w:p>
    <w:p w14:paraId="781CEED0" w14:textId="77777777" w:rsidR="00017D0C" w:rsidRPr="00970EB6" w:rsidRDefault="009C104F" w:rsidP="000338E8">
      <w:pPr>
        <w:ind w:left="-360" w:right="90"/>
        <w:rPr>
          <w:rFonts w:ascii="Georgia" w:hAnsi="Georgia"/>
          <w:b/>
          <w:bCs/>
          <w:i/>
          <w:iCs/>
          <w:color w:val="FF0000"/>
          <w:sz w:val="16"/>
          <w:szCs w:val="16"/>
        </w:rPr>
      </w:pPr>
      <w:r w:rsidRPr="00970EB6">
        <w:rPr>
          <w:rFonts w:ascii="Georgia" w:hAnsi="Georgia"/>
          <w:b/>
          <w:bCs/>
          <w:i/>
          <w:iCs/>
          <w:color w:val="FF0000"/>
          <w:sz w:val="16"/>
          <w:szCs w:val="16"/>
        </w:rPr>
        <w:t>NOTE</w:t>
      </w:r>
      <w:r w:rsidR="00017D0C" w:rsidRPr="00970EB6">
        <w:rPr>
          <w:rFonts w:ascii="Georgia" w:hAnsi="Georgia"/>
          <w:b/>
          <w:bCs/>
          <w:i/>
          <w:iCs/>
          <w:color w:val="FF0000"/>
          <w:sz w:val="16"/>
          <w:szCs w:val="16"/>
        </w:rPr>
        <w:t xml:space="preserve"> </w:t>
      </w:r>
      <w:r w:rsidRPr="00970EB6">
        <w:rPr>
          <w:rFonts w:ascii="Georgia" w:hAnsi="Georgia"/>
          <w:b/>
          <w:bCs/>
          <w:i/>
          <w:iCs/>
          <w:color w:val="FF0000"/>
          <w:sz w:val="16"/>
          <w:szCs w:val="16"/>
        </w:rPr>
        <w:t>2:</w:t>
      </w:r>
      <w:r w:rsidR="009A34AF" w:rsidRPr="00970EB6">
        <w:rPr>
          <w:rFonts w:ascii="Georgia" w:hAnsi="Georgia"/>
          <w:b/>
          <w:bCs/>
          <w:i/>
          <w:iCs/>
          <w:color w:val="FF0000"/>
          <w:sz w:val="16"/>
          <w:szCs w:val="16"/>
        </w:rPr>
        <w:t xml:space="preserve"> If you li</w:t>
      </w:r>
      <w:bookmarkEnd w:id="3"/>
      <w:r w:rsidR="00A90E00" w:rsidRPr="00970EB6">
        <w:rPr>
          <w:rFonts w:ascii="Georgia" w:hAnsi="Georgia"/>
          <w:b/>
          <w:bCs/>
          <w:i/>
          <w:iCs/>
          <w:color w:val="FF0000"/>
          <w:sz w:val="16"/>
          <w:szCs w:val="16"/>
        </w:rPr>
        <w:t xml:space="preserve">ke the Alabama FairTax, you can let your legislators know at: </w:t>
      </w:r>
    </w:p>
    <w:p w14:paraId="5B18102A" w14:textId="45310F3F" w:rsidR="00017D0C" w:rsidRPr="00970EB6" w:rsidRDefault="00B17415" w:rsidP="000338E8">
      <w:pPr>
        <w:ind w:left="-360" w:right="90"/>
        <w:jc w:val="center"/>
        <w:rPr>
          <w:rFonts w:ascii="Georgia" w:hAnsi="Georgia"/>
          <w:b/>
          <w:bCs/>
          <w:i/>
          <w:iCs/>
          <w:color w:val="FF0000"/>
          <w:sz w:val="16"/>
          <w:szCs w:val="16"/>
          <w:u w:val="single"/>
        </w:rPr>
      </w:pPr>
      <w:hyperlink r:id="rId11" w:history="1">
        <w:r w:rsidR="00017D0C" w:rsidRPr="00970EB6">
          <w:rPr>
            <w:rStyle w:val="Hyperlink"/>
            <w:rFonts w:ascii="Georgia" w:hAnsi="Georgia"/>
            <w:b/>
            <w:bCs/>
            <w:i/>
            <w:iCs/>
            <w:color w:val="034990" w:themeColor="hyperlink" w:themeShade="BF"/>
            <w:sz w:val="16"/>
            <w:szCs w:val="16"/>
          </w:rPr>
          <w:t>www.contactmypolitician.com</w:t>
        </w:r>
      </w:hyperlink>
      <w:r w:rsidR="00A90E00" w:rsidRPr="00970EB6">
        <w:rPr>
          <w:rFonts w:ascii="Georgia" w:hAnsi="Georgia"/>
          <w:b/>
          <w:bCs/>
          <w:i/>
          <w:iCs/>
          <w:color w:val="FF0000"/>
          <w:sz w:val="16"/>
          <w:szCs w:val="16"/>
          <w:u w:val="single"/>
        </w:rPr>
        <w:t>.</w:t>
      </w:r>
    </w:p>
    <w:p w14:paraId="5F58C2DE" w14:textId="5BF48E93" w:rsidR="000338E8" w:rsidRPr="00970EB6" w:rsidRDefault="00A90E00" w:rsidP="000338E8">
      <w:pPr>
        <w:ind w:left="-360" w:right="90"/>
        <w:rPr>
          <w:rFonts w:ascii="Georgia" w:hAnsi="Georgia"/>
          <w:b/>
          <w:bCs/>
          <w:i/>
          <w:iCs/>
          <w:color w:val="FF0000"/>
          <w:sz w:val="16"/>
          <w:szCs w:val="16"/>
        </w:rPr>
      </w:pPr>
      <w:r w:rsidRPr="00970EB6">
        <w:rPr>
          <w:rFonts w:ascii="Georgia" w:hAnsi="Georgia"/>
          <w:b/>
          <w:bCs/>
          <w:color w:val="44546A" w:themeColor="text2"/>
          <w:sz w:val="16"/>
          <w:szCs w:val="16"/>
        </w:rPr>
        <w:t>Contact My Politician</w:t>
      </w:r>
      <w:r w:rsidRPr="00970EB6">
        <w:rPr>
          <w:rFonts w:ascii="Georgia" w:hAnsi="Georgia"/>
          <w:b/>
          <w:bCs/>
          <w:i/>
          <w:iCs/>
          <w:color w:val="44546A" w:themeColor="text2"/>
          <w:sz w:val="16"/>
          <w:szCs w:val="16"/>
        </w:rPr>
        <w:t xml:space="preserve"> </w:t>
      </w:r>
      <w:r w:rsidRPr="00970EB6">
        <w:rPr>
          <w:rFonts w:ascii="Georgia" w:hAnsi="Georgia"/>
          <w:b/>
          <w:bCs/>
          <w:i/>
          <w:iCs/>
          <w:color w:val="FF0000"/>
          <w:sz w:val="16"/>
          <w:szCs w:val="16"/>
        </w:rPr>
        <w:t xml:space="preserve">is a free, easy to use, resource to let your representatives know </w:t>
      </w:r>
      <w:r w:rsidR="00017D0C" w:rsidRPr="00970EB6">
        <w:rPr>
          <w:rFonts w:ascii="Georgia" w:hAnsi="Georgia"/>
          <w:b/>
          <w:bCs/>
          <w:i/>
          <w:iCs/>
          <w:color w:val="FF0000"/>
          <w:sz w:val="16"/>
          <w:szCs w:val="16"/>
        </w:rPr>
        <w:t xml:space="preserve">what you </w:t>
      </w:r>
      <w:r w:rsidRPr="00970EB6">
        <w:rPr>
          <w:rFonts w:ascii="Georgia" w:hAnsi="Georgia"/>
          <w:b/>
          <w:bCs/>
          <w:i/>
          <w:iCs/>
          <w:color w:val="FF0000"/>
          <w:sz w:val="16"/>
          <w:szCs w:val="16"/>
        </w:rPr>
        <w:t>th</w:t>
      </w:r>
      <w:r w:rsidR="00017D0C" w:rsidRPr="00970EB6">
        <w:rPr>
          <w:rFonts w:ascii="Georgia" w:hAnsi="Georgia"/>
          <w:b/>
          <w:bCs/>
          <w:i/>
          <w:iCs/>
          <w:color w:val="FF0000"/>
          <w:sz w:val="16"/>
          <w:szCs w:val="16"/>
        </w:rPr>
        <w:t>ink</w:t>
      </w:r>
      <w:r w:rsidRPr="00970EB6">
        <w:rPr>
          <w:rFonts w:ascii="Georgia" w:hAnsi="Georgia"/>
          <w:b/>
          <w:bCs/>
          <w:i/>
          <w:iCs/>
          <w:color w:val="FF0000"/>
          <w:sz w:val="16"/>
          <w:szCs w:val="16"/>
        </w:rPr>
        <w:t xml:space="preserve"> on subjects that affect you.</w:t>
      </w:r>
    </w:p>
    <w:p w14:paraId="500E93CA" w14:textId="4C4B5D11" w:rsidR="00513ECA" w:rsidRPr="000338E8" w:rsidRDefault="00513ECA" w:rsidP="00513ECA">
      <w:pPr>
        <w:ind w:left="-360" w:right="90"/>
        <w:jc w:val="center"/>
        <w:rPr>
          <w:rFonts w:ascii="Georgia" w:hAnsi="Georgia"/>
          <w:sz w:val="19"/>
          <w:szCs w:val="19"/>
        </w:rPr>
      </w:pPr>
      <w:r>
        <w:rPr>
          <w:noProof/>
        </w:rPr>
        <w:drawing>
          <wp:inline distT="0" distB="0" distL="0" distR="0" wp14:anchorId="023E21E8" wp14:editId="08D275AE">
            <wp:extent cx="1487424" cy="669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0906" cy="671493"/>
                    </a:xfrm>
                    <a:prstGeom prst="rect">
                      <a:avLst/>
                    </a:prstGeom>
                    <a:noFill/>
                  </pic:spPr>
                </pic:pic>
              </a:graphicData>
            </a:graphic>
          </wp:inline>
        </w:drawing>
      </w:r>
    </w:p>
    <w:sectPr w:rsidR="00513ECA" w:rsidRPr="000338E8" w:rsidSect="00513ECA">
      <w:headerReference w:type="default" r:id="rId13"/>
      <w:footerReference w:type="default" r:id="rId14"/>
      <w:pgSz w:w="12240" w:h="15840"/>
      <w:pgMar w:top="180" w:right="1350" w:bottom="990" w:left="135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7F8E" w14:textId="77777777" w:rsidR="0010301F" w:rsidRDefault="0010301F" w:rsidP="0010301F">
      <w:pPr>
        <w:spacing w:after="0" w:line="240" w:lineRule="auto"/>
      </w:pPr>
      <w:r>
        <w:separator/>
      </w:r>
    </w:p>
  </w:endnote>
  <w:endnote w:type="continuationSeparator" w:id="0">
    <w:p w14:paraId="6B4B5F09" w14:textId="77777777" w:rsidR="0010301F" w:rsidRDefault="0010301F" w:rsidP="0010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C588" w14:textId="77777777" w:rsidR="000338E8" w:rsidRDefault="000338E8">
    <w:pPr>
      <w:pStyle w:val="Footer"/>
      <w:jc w:val="center"/>
    </w:pPr>
  </w:p>
  <w:p w14:paraId="0D7D13D8" w14:textId="77777777" w:rsidR="000338E8" w:rsidRDefault="000338E8">
    <w:pPr>
      <w:pStyle w:val="Footer"/>
      <w:jc w:val="center"/>
    </w:pPr>
  </w:p>
  <w:sdt>
    <w:sdtPr>
      <w:id w:val="412442707"/>
      <w:docPartObj>
        <w:docPartGallery w:val="Page Numbers (Bottom of Page)"/>
        <w:docPartUnique/>
      </w:docPartObj>
    </w:sdtPr>
    <w:sdtEndPr>
      <w:rPr>
        <w:noProof/>
      </w:rPr>
    </w:sdtEndPr>
    <w:sdtContent>
      <w:p w14:paraId="2B2A617F" w14:textId="28F9AD60" w:rsidR="00F27CC5" w:rsidRDefault="00F27C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517A4" w14:textId="77777777" w:rsidR="00F27CC5" w:rsidRDefault="00F27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D81E" w14:textId="77777777" w:rsidR="0010301F" w:rsidRDefault="0010301F" w:rsidP="0010301F">
      <w:pPr>
        <w:spacing w:after="0" w:line="240" w:lineRule="auto"/>
      </w:pPr>
      <w:r>
        <w:separator/>
      </w:r>
    </w:p>
  </w:footnote>
  <w:footnote w:type="continuationSeparator" w:id="0">
    <w:p w14:paraId="466DFB2A" w14:textId="77777777" w:rsidR="0010301F" w:rsidRDefault="0010301F" w:rsidP="00103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335E" w14:textId="2BC9C599" w:rsidR="000042A8" w:rsidRDefault="00521BC6" w:rsidP="00F27CC5">
    <w:pPr>
      <w:pStyle w:val="Header"/>
      <w:tabs>
        <w:tab w:val="clear" w:pos="9360"/>
      </w:tabs>
      <w:jc w:val="right"/>
    </w:pPr>
    <w:r>
      <w:rPr>
        <w:noProof/>
      </w:rPr>
      <w:drawing>
        <wp:inline distT="0" distB="0" distL="0" distR="0" wp14:anchorId="5AC6393A" wp14:editId="37BEBF9D">
          <wp:extent cx="981710" cy="469265"/>
          <wp:effectExtent l="0" t="0" r="889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0A1D"/>
    <w:multiLevelType w:val="hybridMultilevel"/>
    <w:tmpl w:val="B71C43E6"/>
    <w:lvl w:ilvl="0" w:tplc="26166BC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55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F9"/>
    <w:rsid w:val="000042A8"/>
    <w:rsid w:val="00017D0C"/>
    <w:rsid w:val="000338E8"/>
    <w:rsid w:val="000E0EA0"/>
    <w:rsid w:val="0010301F"/>
    <w:rsid w:val="00124F81"/>
    <w:rsid w:val="00135881"/>
    <w:rsid w:val="001373E4"/>
    <w:rsid w:val="00147AA4"/>
    <w:rsid w:val="00186DD7"/>
    <w:rsid w:val="00191883"/>
    <w:rsid w:val="001B0D30"/>
    <w:rsid w:val="002454CA"/>
    <w:rsid w:val="002B72BC"/>
    <w:rsid w:val="002F2352"/>
    <w:rsid w:val="003329DD"/>
    <w:rsid w:val="00343410"/>
    <w:rsid w:val="0034387A"/>
    <w:rsid w:val="003A5B25"/>
    <w:rsid w:val="003F48F2"/>
    <w:rsid w:val="00401040"/>
    <w:rsid w:val="0045324D"/>
    <w:rsid w:val="004571DD"/>
    <w:rsid w:val="004801DB"/>
    <w:rsid w:val="004E3774"/>
    <w:rsid w:val="004F25B9"/>
    <w:rsid w:val="00513ECA"/>
    <w:rsid w:val="00521BC6"/>
    <w:rsid w:val="00561362"/>
    <w:rsid w:val="005870E0"/>
    <w:rsid w:val="00600237"/>
    <w:rsid w:val="006115E3"/>
    <w:rsid w:val="006A6035"/>
    <w:rsid w:val="006A60A8"/>
    <w:rsid w:val="006B7E3A"/>
    <w:rsid w:val="00747EAA"/>
    <w:rsid w:val="007721D5"/>
    <w:rsid w:val="007766C3"/>
    <w:rsid w:val="007859F9"/>
    <w:rsid w:val="007A426B"/>
    <w:rsid w:val="00816A55"/>
    <w:rsid w:val="0086023F"/>
    <w:rsid w:val="008610D7"/>
    <w:rsid w:val="00877AFB"/>
    <w:rsid w:val="008B158D"/>
    <w:rsid w:val="008D66CD"/>
    <w:rsid w:val="00970EB6"/>
    <w:rsid w:val="009A34AF"/>
    <w:rsid w:val="009C104F"/>
    <w:rsid w:val="009F11CC"/>
    <w:rsid w:val="00A0451F"/>
    <w:rsid w:val="00A14533"/>
    <w:rsid w:val="00A25B1E"/>
    <w:rsid w:val="00A717B5"/>
    <w:rsid w:val="00A90E00"/>
    <w:rsid w:val="00AA4704"/>
    <w:rsid w:val="00AB651E"/>
    <w:rsid w:val="00B17415"/>
    <w:rsid w:val="00B17FF9"/>
    <w:rsid w:val="00BF2597"/>
    <w:rsid w:val="00C24BA3"/>
    <w:rsid w:val="00C45805"/>
    <w:rsid w:val="00CE5972"/>
    <w:rsid w:val="00D038CE"/>
    <w:rsid w:val="00D53865"/>
    <w:rsid w:val="00DB3BCD"/>
    <w:rsid w:val="00E15454"/>
    <w:rsid w:val="00F27CC5"/>
    <w:rsid w:val="00F875C2"/>
    <w:rsid w:val="00FB19C4"/>
    <w:rsid w:val="00FB61C0"/>
    <w:rsid w:val="00FD50D5"/>
    <w:rsid w:val="00FF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CCC63A4"/>
  <w15:chartTrackingRefBased/>
  <w15:docId w15:val="{B0A990CC-BAA2-4BD8-9240-06C74020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59F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859F9"/>
    <w:rPr>
      <w:color w:val="0563C1" w:themeColor="hyperlink"/>
      <w:u w:val="single"/>
    </w:rPr>
  </w:style>
  <w:style w:type="character" w:styleId="UnresolvedMention">
    <w:name w:val="Unresolved Mention"/>
    <w:basedOn w:val="DefaultParagraphFont"/>
    <w:uiPriority w:val="99"/>
    <w:semiHidden/>
    <w:unhideWhenUsed/>
    <w:rsid w:val="007859F9"/>
    <w:rPr>
      <w:color w:val="605E5C"/>
      <w:shd w:val="clear" w:color="auto" w:fill="E1DFDD"/>
    </w:rPr>
  </w:style>
  <w:style w:type="paragraph" w:styleId="Header">
    <w:name w:val="header"/>
    <w:basedOn w:val="Normal"/>
    <w:link w:val="HeaderChar"/>
    <w:uiPriority w:val="99"/>
    <w:unhideWhenUsed/>
    <w:rsid w:val="0010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01F"/>
  </w:style>
  <w:style w:type="paragraph" w:styleId="Footer">
    <w:name w:val="footer"/>
    <w:basedOn w:val="Normal"/>
    <w:link w:val="FooterChar"/>
    <w:uiPriority w:val="99"/>
    <w:unhideWhenUsed/>
    <w:rsid w:val="0010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irtax.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actmypoliticia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65DA-D732-4B3F-89A8-7B35D21C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Bailey</dc:creator>
  <cp:keywords/>
  <dc:description/>
  <cp:lastModifiedBy>Charles Bailey</cp:lastModifiedBy>
  <cp:revision>2</cp:revision>
  <cp:lastPrinted>2022-04-21T07:27:00Z</cp:lastPrinted>
  <dcterms:created xsi:type="dcterms:W3CDTF">2023-04-28T21:33:00Z</dcterms:created>
  <dcterms:modified xsi:type="dcterms:W3CDTF">2023-04-28T21:33:00Z</dcterms:modified>
</cp:coreProperties>
</file>